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4" w:rsidRPr="00457244" w:rsidRDefault="00457244" w:rsidP="00457244">
      <w:pPr>
        <w:shd w:val="clear" w:color="auto" w:fill="F2FAFD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Утверждено решением</w:t>
      </w:r>
    </w:p>
    <w:p w:rsidR="00457244" w:rsidRPr="00457244" w:rsidRDefault="00457244" w:rsidP="00457244">
      <w:pPr>
        <w:shd w:val="clear" w:color="auto" w:fill="F2FAFD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 ПРИКАЗОМ</w:t>
      </w:r>
    </w:p>
    <w:p w:rsidR="00457244" w:rsidRPr="00457244" w:rsidRDefault="00457244" w:rsidP="00457244">
      <w:pPr>
        <w:shd w:val="clear" w:color="auto" w:fill="F2FAFD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ГБУЗ «РКВД»</w:t>
      </w:r>
    </w:p>
    <w:p w:rsidR="00457244" w:rsidRPr="00457244" w:rsidRDefault="00457244" w:rsidP="00457244">
      <w:pPr>
        <w:shd w:val="clear" w:color="auto" w:fill="F2FAFD"/>
        <w:spacing w:after="301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301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№ ________</w:t>
      </w:r>
    </w:p>
    <w:p w:rsidR="00457244" w:rsidRPr="00457244" w:rsidRDefault="00457244" w:rsidP="00457244">
      <w:pPr>
        <w:shd w:val="clear" w:color="auto" w:fill="F2FAFD"/>
        <w:spacing w:after="301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от «__» ________ 201_ года</w:t>
      </w:r>
    </w:p>
    <w:p w:rsidR="00457244" w:rsidRPr="00457244" w:rsidRDefault="00457244" w:rsidP="00457244">
      <w:pPr>
        <w:shd w:val="clear" w:color="auto" w:fill="F2FAFD"/>
        <w:spacing w:after="240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  <w:r w:rsidRPr="00457244">
        <w:rPr>
          <w:rFonts w:ascii="inherit" w:eastAsia="Times New Roman" w:hAnsi="inherit"/>
          <w:sz w:val="36"/>
          <w:szCs w:val="36"/>
          <w:bdr w:val="none" w:sz="0" w:space="0" w:color="auto" w:frame="1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sz w:val="36"/>
          <w:szCs w:val="36"/>
          <w:bdr w:val="none" w:sz="0" w:space="0" w:color="auto" w:frame="1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sz w:val="32"/>
          <w:szCs w:val="32"/>
          <w:bdr w:val="none" w:sz="0" w:space="0" w:color="auto" w:frame="1"/>
          <w:lang w:eastAsia="ru-RU"/>
        </w:rPr>
        <w:t>ГОСУДАРСТВЕННОЕ БЮДЖЕТНОЕ УЧРЕЖДЕНИЕ ЗДРАВООХРАНЕНИЯ</w:t>
      </w:r>
    </w:p>
    <w:p w:rsidR="00457244" w:rsidRPr="00457244" w:rsidRDefault="00457244" w:rsidP="00457244">
      <w:pPr>
        <w:shd w:val="clear" w:color="auto" w:fill="F2FAFD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sz w:val="32"/>
          <w:szCs w:val="32"/>
          <w:bdr w:val="none" w:sz="0" w:space="0" w:color="auto" w:frame="1"/>
          <w:lang w:eastAsia="ru-RU"/>
        </w:rPr>
        <w:t> «РЕСПУБЛИКАНСКИЙ КОЖНО-ВЕНЕРОЛОГИЧЕСКИЙ ДИСПАНСЕР»</w:t>
      </w:r>
    </w:p>
    <w:p w:rsidR="00457244" w:rsidRPr="00457244" w:rsidRDefault="00457244" w:rsidP="00457244">
      <w:pPr>
        <w:shd w:val="clear" w:color="auto" w:fill="F2FAFD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sz w:val="32"/>
          <w:szCs w:val="32"/>
          <w:bdr w:val="none" w:sz="0" w:space="0" w:color="auto" w:frame="1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sz w:val="32"/>
          <w:szCs w:val="32"/>
          <w:bdr w:val="none" w:sz="0" w:space="0" w:color="auto" w:frame="1"/>
          <w:lang w:eastAsia="ru-RU"/>
        </w:rPr>
        <w:t>ПОЛОЖЕНИЕ О КОНФЛИКТЕ ИНТЕРЕСОВ</w:t>
      </w:r>
    </w:p>
    <w:p w:rsidR="00457244" w:rsidRPr="00457244" w:rsidRDefault="00457244" w:rsidP="00457244">
      <w:pPr>
        <w:shd w:val="clear" w:color="auto" w:fill="F2FAFD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sz w:val="36"/>
          <w:szCs w:val="36"/>
          <w:bdr w:val="none" w:sz="0" w:space="0" w:color="auto" w:frame="1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sz w:val="36"/>
          <w:szCs w:val="36"/>
          <w:bdr w:val="none" w:sz="0" w:space="0" w:color="auto" w:frame="1"/>
          <w:lang w:eastAsia="ru-RU"/>
        </w:rPr>
        <w:t> </w:t>
      </w:r>
    </w:p>
    <w:p w:rsid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</w:t>
      </w: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spacing w:after="240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Улан-Удэ, 2014 г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lastRenderedPageBreak/>
        <w:t>        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   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в ГБУЗ «РКВД»</w:t>
      </w:r>
      <w:r w:rsidRPr="00457244">
        <w:rPr>
          <w:rFonts w:ascii="inherit" w:eastAsia="Times New Roman" w:hAnsi="inherit"/>
          <w:b/>
          <w:bCs/>
          <w:sz w:val="30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принято положение о конфликте интересов.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      </w:t>
      </w:r>
      <w:r w:rsidRPr="00457244">
        <w:rPr>
          <w:rFonts w:ascii="PT Sans" w:eastAsia="Times New Roman" w:hAnsi="PT Sans"/>
          <w:sz w:val="30"/>
          <w:lang w:eastAsia="ru-RU"/>
        </w:rPr>
        <w:t> </w:t>
      </w:r>
      <w:r w:rsidRPr="00457244">
        <w:rPr>
          <w:rFonts w:ascii="inherit" w:eastAsia="Times New Roman" w:hAnsi="inherit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Положение о конфликте интересов</w:t>
      </w:r>
      <w:r w:rsidRPr="00457244">
        <w:rPr>
          <w:rFonts w:ascii="PT Sans" w:eastAsia="Times New Roman" w:hAnsi="PT Sans"/>
          <w:sz w:val="30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Положение о конфликте интересов ГБУЗ «РКВД»</w:t>
      </w:r>
      <w:r w:rsidRPr="00457244">
        <w:rPr>
          <w:rFonts w:ascii="inherit" w:eastAsia="Times New Roman" w:hAnsi="inherit"/>
          <w:b/>
          <w:bCs/>
          <w:sz w:val="30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 (далее - Положение) включает следующие аспекты: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цели и задачи положения о конфликте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используемые в положении понятия и определения;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круг лиц, попадающих под действие положения;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основные принципы управления конфликтом интересов в организации;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обязанности работников в связи с раскрытием и урегулированием конфликта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ответственность работников за несоблюдение положения о конфликте интересов.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Круг лиц, попадающих под действие положения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    Действие положения распространяется на всех работников ГБУЗ «РКВД»</w:t>
      </w:r>
      <w:r w:rsidRPr="00457244">
        <w:rPr>
          <w:rFonts w:ascii="inherit" w:eastAsia="Times New Roman" w:hAnsi="inherit"/>
          <w:b/>
          <w:bCs/>
          <w:sz w:val="30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 вне зависимости от уровня занимаемой должности.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Основные принципы управления конфликтом интересов в организации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       В основу работы по управлению конфликтом интересов в ГБУЗ «РКВД»</w:t>
      </w:r>
      <w:r w:rsidRPr="00457244">
        <w:rPr>
          <w:rFonts w:ascii="inherit" w:eastAsia="Times New Roman" w:hAnsi="inherit"/>
          <w:b/>
          <w:bCs/>
          <w:sz w:val="30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 положены следующие принципы: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lastRenderedPageBreak/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 xml:space="preserve">индивидуальное рассмотрение и оценка </w:t>
      </w:r>
      <w:proofErr w:type="spellStart"/>
      <w:r w:rsidRPr="00457244">
        <w:rPr>
          <w:rFonts w:ascii="PT Sans" w:eastAsia="Times New Roman" w:hAnsi="PT Sans"/>
          <w:sz w:val="30"/>
          <w:szCs w:val="30"/>
          <w:lang w:eastAsia="ru-RU"/>
        </w:rPr>
        <w:t>репутационных</w:t>
      </w:r>
      <w:proofErr w:type="spellEnd"/>
      <w:r w:rsidRPr="00457244">
        <w:rPr>
          <w:rFonts w:ascii="PT Sans" w:eastAsia="Times New Roman" w:hAnsi="PT Sans"/>
          <w:sz w:val="30"/>
          <w:szCs w:val="30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раскрывать возникший (реальный) или потенциальный конфликт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содействовать урегулированию возникшего конфликта интересов.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раскрытие сведений о конфликте интересов при приеме на работу;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раскрытие сведений о конфликте интересов при назначении на новую должность;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разовое раскрытие сведений по мере возникновения ситуаций конфликта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ГБУЗ «РКВД»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lastRenderedPageBreak/>
        <w:t>серьезности возникающих для организации рисков и выбора наиболее подходящей формы урегулирования конфликта интересов.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Следует иметь в виду, что в итоге этой работы ГБУЗ «РКВД»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ГБУЗ «РКВД»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пересмотр и изменение функциональных обязанностей работника;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увольнение работника из организации по инициативе работника;</w:t>
      </w:r>
    </w:p>
    <w:p w:rsidR="00457244" w:rsidRPr="00457244" w:rsidRDefault="00457244" w:rsidP="00457244">
      <w:pPr>
        <w:shd w:val="clear" w:color="auto" w:fill="F2FAFD"/>
        <w:ind w:left="714" w:hanging="35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Symbol" w:eastAsia="Times New Roman" w:hAnsi="Symbol"/>
          <w:sz w:val="30"/>
          <w:szCs w:val="30"/>
          <w:bdr w:val="none" w:sz="0" w:space="0" w:color="auto" w:frame="1"/>
          <w:lang w:eastAsia="ru-RU"/>
        </w:rPr>
        <w:t></w:t>
      </w:r>
      <w:r w:rsidRPr="00457244">
        <w:rPr>
          <w:rFonts w:eastAsia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457244">
        <w:rPr>
          <w:rFonts w:eastAsia="Times New Roman"/>
          <w:sz w:val="14"/>
          <w:lang w:eastAsia="ru-RU"/>
        </w:rPr>
        <w:t> </w:t>
      </w:r>
      <w:r w:rsidRPr="00457244">
        <w:rPr>
          <w:rFonts w:ascii="PT Sans" w:eastAsia="Times New Roman" w:hAnsi="PT Sans"/>
          <w:sz w:val="30"/>
          <w:szCs w:val="30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lastRenderedPageBreak/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457244" w:rsidRPr="00457244" w:rsidRDefault="00457244" w:rsidP="00457244">
      <w:pPr>
        <w:shd w:val="clear" w:color="auto" w:fill="F2FAFD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inherit" w:eastAsia="Times New Roman" w:hAnsi="inherit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457244" w:rsidRPr="00457244" w:rsidRDefault="00457244" w:rsidP="00457244">
      <w:pPr>
        <w:shd w:val="clear" w:color="auto" w:fill="F2FAFD"/>
        <w:spacing w:after="301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457244">
        <w:rPr>
          <w:rFonts w:ascii="PT Sans" w:eastAsia="Times New Roman" w:hAnsi="PT Sans"/>
          <w:sz w:val="30"/>
          <w:szCs w:val="30"/>
          <w:lang w:eastAsia="ru-RU"/>
        </w:rPr>
        <w:t>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руководитель. Рассмотрение полученной информации проводиться коллегиально с привлечением руководителей отделов, заместителя и юрисконсульта</w:t>
      </w:r>
    </w:p>
    <w:p w:rsidR="00302BB6" w:rsidRDefault="00302BB6"/>
    <w:sectPr w:rsidR="00302BB6" w:rsidSect="003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7244"/>
    <w:rsid w:val="002A08DD"/>
    <w:rsid w:val="00302BB6"/>
    <w:rsid w:val="00457244"/>
    <w:rsid w:val="008C068C"/>
    <w:rsid w:val="0090526D"/>
    <w:rsid w:val="009B50BC"/>
    <w:rsid w:val="00B0795B"/>
    <w:rsid w:val="00B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m">
    <w:name w:val="m"/>
    <w:basedOn w:val="a"/>
    <w:rsid w:val="00457244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244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2016-12-23T08:52:00Z</dcterms:created>
  <dcterms:modified xsi:type="dcterms:W3CDTF">2016-12-23T08:53:00Z</dcterms:modified>
</cp:coreProperties>
</file>