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>МИНИСТЕРСТВО ЗДРАВООХРАНЕНИЯ РЕСПУБЛИКИ БУРЯТИЯ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>БУРЯАД РЕСПУБЛИКЫН ЭЛ</w:t>
      </w:r>
      <w:proofErr w:type="gramStart"/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val="en-US" w:eastAsia="ru-RU"/>
        </w:rPr>
        <w:t>YY</w:t>
      </w:r>
      <w:proofErr w:type="gramEnd"/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>РЫЕ ХАМГААЛГЫН МИНИСТЕРСТВО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0"/>
          <w:szCs w:val="20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proofErr w:type="gramStart"/>
      <w:r w:rsidRPr="008927DB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927DB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 xml:space="preserve"> Р И К А З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«_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27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_»_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июня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_____2013                                                                       № 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935-ОД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0"/>
          <w:szCs w:val="20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г. Улан-Удэ</w:t>
      </w:r>
    </w:p>
    <w:p w:rsidR="008927DB" w:rsidRPr="008927DB" w:rsidRDefault="008927DB" w:rsidP="008927DB">
      <w:pPr>
        <w:shd w:val="clear" w:color="auto" w:fill="F8F8FA"/>
        <w:spacing w:line="263" w:lineRule="atLeas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spacing w:line="263" w:lineRule="atLeas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порядка составления и утверждения отчета о результатах деятельности государственных учреждений находящихся в ведении Министерства здравоохранения Республики Бурятия  и об использовании закрепленного за ними государственного имущества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ind w:firstLine="70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На основании ст.32 ФЗ «О некоммерческих организациях» </w:t>
      </w:r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исполнении пункта 5  Плана внедрения результатов прикладных научно-исследовательских работ по реализации отдельных мероприятий Программы Правительства Республики Бурятия по повышению эффективности бюджетных расходов на период до 2013 года, утвержденного распоряжением Правительства Республики Бурятия от 03 апреля 2013 года № 200-р</w:t>
      </w:r>
    </w:p>
    <w:p w:rsidR="008927DB" w:rsidRPr="008927DB" w:rsidRDefault="008927DB" w:rsidP="008927DB">
      <w:pPr>
        <w:shd w:val="clear" w:color="auto" w:fill="F8F8FA"/>
        <w:ind w:firstLine="70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и к а </w:t>
      </w:r>
      <w:proofErr w:type="spell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в а ю:</w:t>
      </w:r>
    </w:p>
    <w:p w:rsidR="008927DB" w:rsidRPr="008927DB" w:rsidRDefault="008927DB" w:rsidP="008927DB">
      <w:pPr>
        <w:shd w:val="clear" w:color="auto" w:fill="F8F8FA"/>
        <w:ind w:left="1690" w:hanging="99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</w:t>
      </w:r>
      <w:r w:rsidRPr="008927DB">
        <w:rPr>
          <w:rFonts w:ascii="inherit" w:eastAsia="Times New Roman" w:hAnsi="inherit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Утвердить прилагаемый порядок составления и утверждения отчета о результатах деятельности государственных учреждений и об использовании закрепленного за ними государственного имущества.</w:t>
      </w:r>
    </w:p>
    <w:p w:rsidR="008927DB" w:rsidRPr="008927DB" w:rsidRDefault="008927DB" w:rsidP="008927DB">
      <w:pPr>
        <w:shd w:val="clear" w:color="auto" w:fill="F8F8FA"/>
        <w:ind w:left="1690" w:hanging="99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2.</w:t>
      </w:r>
      <w:r w:rsidRPr="008927DB">
        <w:rPr>
          <w:rFonts w:ascii="inherit" w:eastAsia="Times New Roman" w:hAnsi="inherit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Приказ Министерства здравоохранения Республики Бурятия от 29.09.2010 г. № 933/1-ОД «Об общих требованиях к порядку составления и утверждения отчета о результатах деятельности государственного учреждения здравоохранения и об использовании закрепленного за ним государственного имущества»  признать утратившим силу</w:t>
      </w:r>
    </w:p>
    <w:p w:rsidR="008927DB" w:rsidRPr="008927DB" w:rsidRDefault="008927DB" w:rsidP="008927DB">
      <w:pPr>
        <w:shd w:val="clear" w:color="auto" w:fill="F8F8FA"/>
        <w:ind w:firstLine="54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ind w:firstLine="54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ind w:firstLine="539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ind w:firstLine="539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Министр                                                                                        В.В. Кожевников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18"/>
          <w:szCs w:val="18"/>
          <w:bdr w:val="none" w:sz="0" w:space="0" w:color="auto" w:frame="1"/>
          <w:lang w:eastAsia="ru-RU"/>
        </w:rPr>
        <w:t>Зайцева Л. А.,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18"/>
          <w:szCs w:val="18"/>
          <w:bdr w:val="none" w:sz="0" w:space="0" w:color="auto" w:frame="1"/>
          <w:lang w:eastAsia="ru-RU"/>
        </w:rPr>
        <w:t>8(301-2)-21-42-82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 </w:t>
      </w:r>
    </w:p>
    <w:p w:rsid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</w:p>
    <w:p w:rsidR="008927DB" w:rsidRP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</w:t>
      </w:r>
    </w:p>
    <w:p w:rsidR="008927DB" w:rsidRP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Министерства здравоохранения</w:t>
      </w:r>
    </w:p>
    <w:p w:rsidR="008927DB" w:rsidRP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Республики Бурятия</w:t>
      </w:r>
    </w:p>
    <w:p w:rsidR="008927DB" w:rsidRPr="008927DB" w:rsidRDefault="008927DB" w:rsidP="008927DB">
      <w:pPr>
        <w:shd w:val="clear" w:color="auto" w:fill="F8F8FA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от «_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27 » 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06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_ 2013 года № 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935-ОД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__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Порядок составления и утверждения отчета о результатах деятельности государственных учреждений находящихся в ведении Министерства здравоохранения Республики Бурятия и об использовании закрепленного за ними государственного имущества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Настоящий Порядок разработан в соответствии с подпунктом 10 пункта 3.3. статьи 32 Федерального закона от 12.01.1996г. № 7-ФЗ «О некоммерческих организациях» и Приказом Министерства финансов Российской Федерации от 30.09.2010г.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и устанавливает требования к составлению</w:t>
      </w:r>
      <w:proofErr w:type="gram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и утверждению отчета о результатах деятельности государственных казенных, бюджетных, автономных учреждений и об использовании закрепленного за ними государственного имущества (далее – Отчет).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2. Отчет составляется в соответствии с настоящим Порядком казенными, бюджетными и автономными учреждениями (далее – учреждения) по форме согласно Приложениям 1, 2 и 3 к настоящему Порядку соответственно.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(далее – Правила № 684).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4. Отчет ежегодно составляется учреждениями по состоянию на 1 января года, следующего за </w:t>
      </w:r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отчетным</w:t>
      </w:r>
      <w:proofErr w:type="gram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в валюте Российской Федерации (в части показателей в денежном выражении).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5. Отчет предоставляется одновременно на бумажном носителе и в электронном виде.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6. Отчет составляется в разрезе следующих разделов: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раздел 1 «Общие сведения об учреждении»;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раздел 2 «Результат деятельности учреждения»;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раздел 3 «Об использовании имущества, закрепленного за учреждением».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7. В разделе 1 «Общие сведения об учреждении» указываются: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lastRenderedPageBreak/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свою деятельность (свидетельство о государственной регистрации учреждения, решение исполнительного органа государственной власти, осуществляющего функции и полномочия учредителя государственного учреждения о создании учреждения и другие разрешительные документы);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периода.);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средняя заработная плата сотрудников учреждения.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8. В разделе 2 «Результат деятельности учреждения» указываются: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суммы доходов, полученных учреждением от оказания платных услуг (выполнения работ);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количество жалоб потребителей и принятые по результатам их рассмотрения меры.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Бюджетными учреждениями дополнительно указываются: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суммы кассовых и плановых поступлений (с учетом возвратов) в разрезе поступлений, предусмотренных Планом ФХД;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 ФХД.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Казенными учреждениями дополнительно указываются: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показатели кассового исполнения бюджетной сметы учреждения;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показатели доведенных учреждению лимитов бюджетных обязательств.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lastRenderedPageBreak/>
        <w:t>9. В разделе 3 «Об использовании имущества, закрепленного за учреждением» бюджетными и казенными учреждениями указывается на начало и конец отчетного года: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Бюджетными учреждениями дополнительно указываются: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учреждению исполнительным органом государственной власти, осуществляющему функции и полномочия учредителя государственного учреждения на указанные цели;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10. Раздел 3 «Об использовании имущества, закрепленного за учреждением» автономными учреждениями составляется в порядке, установленном 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lastRenderedPageBreak/>
        <w:t>Правилами №684 и должен содержать данные за каждый из двух предшествующих опубликованию лет.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11. Отчеты автономных учреждений утверждаются наблюдательным советом автономного учреждения по представлению руководителя автономного учреждения в порядке, установленным статьей 11 Федерального закона от 03.11.2006 №174-ФЗ «Об автономных учреждениях».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12. Отчеты бюджетных и казенных учреждений утверждаются руководителями учреждений и представляются в срок не позднее 20 марта года, следующего </w:t>
      </w:r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 отчетным, на согласование.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13. Министерство здравоохранения Республики Бурятия  рассматривает и согласовывает отчет либо направляет на доработку в срок не более 15 дней с момента получения.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Согласованный отчет учреждение направляет в порядке, утвержденном приказом Министерства финансов Российской Федерации от 21.07.2011г. № 86н 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для размещения в сети Интернет федеральному органу исполнительной власти, осуществляющему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15. Согласованный отчет учреждения размещается на официальном сайте учреждения.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16. Согласованные отчеты государственных автономных учреждений подлежат опубликованию не позднее 20 мая года, следующего за отчетным, в    </w:t>
      </w:r>
      <w:proofErr w:type="spellStart"/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_</w:t>
      </w:r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газете</w:t>
      </w:r>
      <w:proofErr w:type="spellEnd"/>
      <w:r w:rsidRPr="008927DB">
        <w:rPr>
          <w:rFonts w:ascii="inherit" w:eastAsia="Times New Roman" w:hAnsi="inherit"/>
          <w:sz w:val="28"/>
          <w:szCs w:val="28"/>
          <w:u w:val="single"/>
          <w:bdr w:val="none" w:sz="0" w:space="0" w:color="auto" w:frame="1"/>
          <w:lang w:eastAsia="ru-RU"/>
        </w:rPr>
        <w:t>  «Бурятия»</w:t>
      </w: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2FAFD"/>
        <w:textAlignment w:val="baseline"/>
        <w:outlineLvl w:val="4"/>
        <w:rPr>
          <w:rFonts w:ascii="PT Sans" w:eastAsia="Times New Roman" w:hAnsi="PT Sans"/>
          <w:b/>
          <w:bCs/>
          <w:sz w:val="34"/>
          <w:szCs w:val="34"/>
          <w:lang w:eastAsia="ru-RU"/>
        </w:rPr>
      </w:pPr>
      <w:r w:rsidRPr="008927D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 </w:t>
      </w: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</w:pPr>
    </w:p>
    <w:p w:rsidR="008927DB" w:rsidRPr="008927DB" w:rsidRDefault="008927DB" w:rsidP="008927DB">
      <w:pPr>
        <w:shd w:val="clear" w:color="auto" w:fill="F8F8FA"/>
        <w:ind w:left="5670"/>
        <w:jc w:val="right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8927DB" w:rsidRPr="008927DB" w:rsidRDefault="008927DB" w:rsidP="008927DB">
      <w:pPr>
        <w:shd w:val="clear" w:color="auto" w:fill="F8F8FA"/>
        <w:ind w:left="5670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к Порядку составления и утверждения отчетов о результатах деятельности государственных учреждений и об использовании закрепленного за ними государственного имущества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Отчет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о результатах деятельности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государственного бюджетного учреждения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ГАУЗ «Республиканский кожно-венерологический диспансер»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(полное наименование учреждения)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и об использовании закрепленного за ним государственного имущества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за 2015 год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inherit" w:eastAsia="Times New Roman" w:hAnsi="inherit"/>
          <w:sz w:val="24"/>
          <w:szCs w:val="24"/>
          <w:bdr w:val="none" w:sz="0" w:space="0" w:color="auto" w:frame="1"/>
          <w:lang w:eastAsia="ru-RU"/>
        </w:rPr>
        <w:t>Общие сведения об учреждении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252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361"/>
        <w:gridCol w:w="3891"/>
      </w:tblGrid>
      <w:tr w:rsidR="008927DB" w:rsidRPr="008927DB" w:rsidTr="008927DB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учреждения                             </w:t>
            </w:r>
          </w:p>
        </w:tc>
        <w:tc>
          <w:tcPr>
            <w:tcW w:w="44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автономное учреждение здравоохранения «</w:t>
            </w:r>
            <w:r w:rsidRPr="008927D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ru-RU"/>
              </w:rPr>
              <w:t>Республиканский кожно-венерологический диспансер</w:t>
            </w: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927DB" w:rsidRPr="008927DB" w:rsidTr="008927DB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Сокращенное наименование учреждения                           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ГБУЗ «РКВД»</w:t>
            </w:r>
          </w:p>
        </w:tc>
      </w:tr>
      <w:tr w:rsidR="008927DB" w:rsidRPr="008927DB" w:rsidTr="008927DB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учреждения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РБ г. Улан-Удэ ул. 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Коммунистическая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, 5</w:t>
            </w:r>
          </w:p>
        </w:tc>
      </w:tr>
      <w:tr w:rsidR="008927DB" w:rsidRPr="008927DB" w:rsidTr="008927DB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Почтовый адрес учреждения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670000 РБ г. Улан-Удэ ул. 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Коммунистическая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, 5</w:t>
            </w:r>
          </w:p>
        </w:tc>
      </w:tr>
      <w:tr w:rsidR="008927DB" w:rsidRPr="008927DB" w:rsidTr="008927DB">
        <w:trPr>
          <w:trHeight w:val="969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Оказание первичной специализированной медико-санитарной помощи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в амбулаторных условиях, в том числе анонимное обследование, лечение.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Оказание специализированной медицинской помощи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в условиях дневного стационара.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Оказание специализированной медицинской помощи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в стационарных условиях.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Проведение периодических и профилактических медицинских осмотров больных с дерматовенерологическими заболеваниями.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Усовершенствование диагностики инфекций, передаваемых половым путем, применение современных методов лечения ИППП, комплексная терапия больных с кожной патологией с применением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фитотерапии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по тибетской технологии,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лазеролечения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 Внедрения в деятельность учреждения современных информационных технологий по учету заболеваемости и 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ведению медицинской документации.</w:t>
            </w:r>
          </w:p>
          <w:p w:rsidR="008927DB" w:rsidRPr="008927DB" w:rsidRDefault="008927DB" w:rsidP="008927DB">
            <w:pPr>
              <w:ind w:left="390" w:hanging="36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7.</w:t>
            </w:r>
            <w:r w:rsidRPr="008927DB">
              <w:rPr>
                <w:rFonts w:eastAsia="Times New Roman"/>
                <w:color w:val="auto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927DB">
              <w:rPr>
                <w:rFonts w:eastAsia="Times New Roman"/>
                <w:color w:val="auto"/>
                <w:sz w:val="1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Организационно-методическая помощь медицинским организациям 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раннему выявлению и отбору больных с заболеваниями дерматовенерологического профиля;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развитию лабораторной диагностики и лечению ИППП;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разработке и внедрению комплексных профилактических мероприятий;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планированию работы дерматовенерологической службы;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косметологической помощи;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развитию и расширение кабинетов анонимного обследования;</w:t>
            </w:r>
          </w:p>
          <w:p w:rsidR="008927DB" w:rsidRPr="008927DB" w:rsidRDefault="008927DB" w:rsidP="008927DB">
            <w:pPr>
              <w:ind w:left="39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 статистическому учету и анализу заболеваемости ИППП и заразными кожными заболеваниями.  </w:t>
            </w:r>
          </w:p>
        </w:tc>
      </w:tr>
      <w:tr w:rsidR="008927DB" w:rsidRPr="008927DB" w:rsidTr="008927DB">
        <w:trPr>
          <w:trHeight w:val="546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 виды деятельности</w:t>
            </w:r>
          </w:p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85.12</w:t>
            </w:r>
          </w:p>
        </w:tc>
      </w:tr>
      <w:tr w:rsidR="008927DB" w:rsidRPr="008927DB" w:rsidTr="008927DB">
        <w:trPr>
          <w:trHeight w:val="554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Иные виды деятельности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http://rkvdrb.ru/paid_services/</w:t>
            </w:r>
          </w:p>
        </w:tc>
      </w:tr>
      <w:tr w:rsidR="008927DB" w:rsidRPr="008927DB" w:rsidTr="008927DB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Все желающие, граждане, физические лица и юридические лица</w:t>
            </w:r>
          </w:p>
        </w:tc>
      </w:tr>
      <w:tr w:rsidR="008927DB" w:rsidRPr="008927DB" w:rsidTr="008927DB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                         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Лицензия  ФС 03-01-000109</w:t>
            </w:r>
          </w:p>
        </w:tc>
      </w:tr>
      <w:tr w:rsidR="008927DB" w:rsidRPr="008927DB" w:rsidTr="008927DB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115</w:t>
            </w:r>
          </w:p>
        </w:tc>
      </w:tr>
      <w:tr w:rsidR="008927DB" w:rsidRPr="008927DB" w:rsidTr="008927DB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25441</w:t>
            </w:r>
          </w:p>
        </w:tc>
      </w:tr>
    </w:tbl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3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400"/>
        <w:gridCol w:w="1980"/>
        <w:gridCol w:w="1985"/>
      </w:tblGrid>
      <w:tr w:rsidR="008927DB" w:rsidRPr="008927DB" w:rsidTr="008927DB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 конец года</w:t>
            </w:r>
          </w:p>
        </w:tc>
      </w:tr>
      <w:tr w:rsidR="008927DB" w:rsidRPr="008927DB" w:rsidTr="008927DB">
        <w:tc>
          <w:tcPr>
            <w:tcW w:w="5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Количество штатных единиц 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147,5</w:t>
            </w:r>
          </w:p>
        </w:tc>
      </w:tr>
      <w:tr w:rsidR="008927DB" w:rsidRPr="008927DB" w:rsidTr="008927DB">
        <w:tc>
          <w:tcPr>
            <w:tcW w:w="5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Квалификация сотрудников 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 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38 </w:t>
            </w:r>
          </w:p>
        </w:tc>
      </w:tr>
      <w:tr w:rsidR="008927DB" w:rsidRPr="008927DB" w:rsidTr="008927DB">
        <w:trPr>
          <w:trHeight w:val="720"/>
        </w:trPr>
        <w:tc>
          <w:tcPr>
            <w:tcW w:w="9365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Информация о причинах, приведших к изменению количества штатных единиц на конец отчетного периода              </w:t>
            </w:r>
          </w:p>
        </w:tc>
      </w:tr>
    </w:tbl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Сведения о результатах деятельности учреждения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0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14"/>
        <w:gridCol w:w="2512"/>
        <w:gridCol w:w="1408"/>
        <w:gridCol w:w="1425"/>
        <w:gridCol w:w="866"/>
        <w:gridCol w:w="220"/>
        <w:gridCol w:w="220"/>
        <w:gridCol w:w="482"/>
        <w:gridCol w:w="385"/>
        <w:gridCol w:w="1208"/>
      </w:tblGrid>
      <w:tr w:rsidR="008927DB" w:rsidRPr="008927DB" w:rsidTr="008927DB">
        <w:trPr>
          <w:trHeight w:val="600"/>
          <w:tblHeader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N  </w:t>
            </w: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 </w:t>
            </w: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Наименование показателя деятельности</w:t>
            </w:r>
          </w:p>
        </w:tc>
        <w:tc>
          <w:tcPr>
            <w:tcW w:w="14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Единица  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Год, предшествующий 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отчетному</w:t>
            </w:r>
            <w:proofErr w:type="gramEnd"/>
          </w:p>
        </w:tc>
        <w:tc>
          <w:tcPr>
            <w:tcW w:w="2610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Отчетный год</w:t>
            </w:r>
          </w:p>
        </w:tc>
      </w:tr>
      <w:tr w:rsidR="008927DB" w:rsidRPr="008927DB" w:rsidTr="008927DB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val="en-US" w:eastAsia="ru-RU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102,4(93,5)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val="en-US" w:eastAsia="ru-RU"/>
              </w:rPr>
              <w:t>96</w:t>
            </w: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,1(90,5)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-2560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441</w:t>
            </w:r>
          </w:p>
        </w:tc>
      </w:tr>
      <w:tr w:rsidR="008927DB" w:rsidRPr="008927DB" w:rsidTr="008927DB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 разрезе поступлений: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-2490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397 </w:t>
            </w:r>
          </w:p>
        </w:tc>
      </w:tr>
      <w:tr w:rsidR="008927DB" w:rsidRPr="008927DB" w:rsidTr="008927D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18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18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18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18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1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 разрезе выплат: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1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1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-70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1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44</w:t>
            </w:r>
          </w:p>
        </w:tc>
      </w:tr>
      <w:tr w:rsidR="008927DB" w:rsidRPr="008927DB" w:rsidTr="008927DB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0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0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00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00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-1012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</w:tr>
      <w:tr w:rsidR="008927DB" w:rsidRPr="008927DB" w:rsidTr="008927D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2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 разрезе поступлений: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2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2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2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1185</w:t>
            </w:r>
          </w:p>
        </w:tc>
      </w:tr>
      <w:tr w:rsidR="008927DB" w:rsidRPr="008927DB" w:rsidTr="008927D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 разрезе выплат: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-1012 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-230</w:t>
            </w:r>
          </w:p>
        </w:tc>
      </w:tr>
      <w:tr w:rsidR="008927DB" w:rsidRPr="008927DB" w:rsidTr="008927D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27333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27487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Цены (тарифы) на платные услуги (работы), оказываемые потребителям</w:t>
            </w:r>
            <w:bookmarkStart w:id="0" w:name="_ftnref1"/>
            <w:bookmarkEnd w:id="0"/>
            <w:r w:rsidRPr="008927DB">
              <w:rPr>
                <w:rFonts w:ascii="PT Sans" w:eastAsia="Times New Roman" w:hAnsi="PT Sans"/>
                <w:sz w:val="30"/>
                <w:szCs w:val="30"/>
                <w:lang w:eastAsia="ru-RU"/>
              </w:rPr>
              <w:fldChar w:fldCharType="begin"/>
            </w:r>
            <w:r w:rsidRPr="008927DB">
              <w:rPr>
                <w:rFonts w:ascii="PT Sans" w:eastAsia="Times New Roman" w:hAnsi="PT Sans"/>
                <w:sz w:val="30"/>
                <w:szCs w:val="30"/>
                <w:lang w:eastAsia="ru-RU"/>
              </w:rPr>
              <w:instrText xml:space="preserve"> HYPERLINK "file:///C:\\Documents%20and%20Settings\\Oem\\%D0%9C%D0%BE%D0%B8%20%D0%B4%D0%BE%D0%BA%D1%83%D0%BC%D0%B5%D0%BD%D1%82%D1%8B\\%D0%BF%D0%BE%D1%80%D1%8F%D0%B4%D0%BE%D0%BA%20%D0%BF%D1%80%D0%B5%D0%B4%D0%BE%D1%81%D1%82%D0%B0%D0%B2%D0%BB%D0%B5%D0%BD%D0%B8%D1%8F%20%D0%BE%D1%82%D1%87%D0%B5%D1%82%D0%BD%D0%BE%D1%81%D1%82%D0%B8%20%D0%BD%D0%B0%20%D1%81%D0%B0%D0%B9%D1%821.doc" \l "_ftn1" \o "" </w:instrText>
            </w:r>
            <w:r w:rsidRPr="008927DB">
              <w:rPr>
                <w:rFonts w:ascii="PT Sans" w:eastAsia="Times New Roman" w:hAnsi="PT Sans"/>
                <w:sz w:val="30"/>
                <w:szCs w:val="30"/>
                <w:lang w:eastAsia="ru-RU"/>
              </w:rPr>
              <w:fldChar w:fldCharType="separate"/>
            </w:r>
            <w:r w:rsidRPr="008927DB">
              <w:rPr>
                <w:rFonts w:ascii="Arial" w:eastAsia="Times New Roman" w:hAnsi="Arial" w:cs="Arial"/>
                <w:color w:val="1770AE"/>
                <w:sz w:val="24"/>
                <w:szCs w:val="24"/>
                <w:u w:val="single"/>
                <w:lang w:eastAsia="ru-RU"/>
              </w:rPr>
              <w:t>[1]</w:t>
            </w:r>
            <w:r w:rsidRPr="008927DB">
              <w:rPr>
                <w:rFonts w:ascii="PT Sans" w:eastAsia="Times New Roman" w:hAnsi="PT Sans"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720"/>
        </w:trPr>
        <w:tc>
          <w:tcPr>
            <w:tcW w:w="47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потребителей, воспользовавшихся услугами (работами) учреждения, в том числе:  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человек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61868 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55463</w:t>
            </w:r>
          </w:p>
        </w:tc>
      </w:tr>
      <w:tr w:rsidR="008927DB" w:rsidRPr="008927DB" w:rsidTr="008927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бесплатными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, в том числе по видам услуг:              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человек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34083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22483</w:t>
            </w:r>
          </w:p>
        </w:tc>
      </w:tr>
      <w:tr w:rsidR="008927DB" w:rsidRPr="008927DB" w:rsidTr="008927DB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8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 Первичная специализированная медико-санитарная помощь в амбулаторных условиях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8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8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32910 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8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21734</w:t>
            </w:r>
          </w:p>
        </w:tc>
      </w:tr>
      <w:tr w:rsidR="008927DB" w:rsidRPr="008927DB" w:rsidTr="008927DB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7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 Первичная специализированная медико-санитарная помощь в условиях дневного стационара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7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73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529 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73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521</w:t>
            </w:r>
          </w:p>
        </w:tc>
      </w:tr>
      <w:tr w:rsidR="008927DB" w:rsidRPr="008927DB" w:rsidTr="008927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специализированная медико-санитарная помощь в стационарных условиях стационара по: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644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578</w:t>
            </w:r>
          </w:p>
        </w:tc>
      </w:tr>
      <w:tr w:rsidR="008927DB" w:rsidRPr="008927DB" w:rsidTr="008927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платными услугами, в том числе по видам услуг: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человек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27785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32980</w:t>
            </w:r>
          </w:p>
        </w:tc>
      </w:tr>
      <w:tr w:rsidR="008927DB" w:rsidRPr="008927DB" w:rsidTr="008927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 Первичная специализированная медико-санитарная помощь в амбулаторных условиях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27785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32978</w:t>
            </w:r>
          </w:p>
        </w:tc>
      </w:tr>
      <w:tr w:rsidR="008927DB" w:rsidRPr="008927DB" w:rsidTr="008927DB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 Первичная специализированная </w:t>
            </w: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медико-санитарная помощь в условиях дневного стационара по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</w:tc>
      </w:tr>
      <w:tr w:rsidR="008927DB" w:rsidRPr="008927DB" w:rsidTr="008927DB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специализированная медико-санитарная помощь в стационарных условиях стационара по: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55" w:lineRule="atLeast"/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927DB" w:rsidRPr="008927DB" w:rsidTr="008927DB">
        <w:trPr>
          <w:trHeight w:val="397"/>
        </w:trPr>
        <w:tc>
          <w:tcPr>
            <w:tcW w:w="4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Количество жалоб потребителей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штук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0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525" w:type="dxa"/>
            <w:gridSpan w:val="9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25" w:type="dxa"/>
            <w:gridSpan w:val="9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25" w:type="dxa"/>
            <w:gridSpan w:val="9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600"/>
        </w:trPr>
        <w:tc>
          <w:tcPr>
            <w:tcW w:w="475" w:type="dxa"/>
            <w:vMerge w:val="restart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4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ублей</w:t>
            </w:r>
          </w:p>
        </w:tc>
        <w:tc>
          <w:tcPr>
            <w:tcW w:w="11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095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8927DB" w:rsidRPr="008927DB" w:rsidTr="008927DB">
        <w:trPr>
          <w:trHeight w:val="293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 средства ОМС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21 054,98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21 054,98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21 177,13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21 177,13</w:t>
            </w:r>
          </w:p>
        </w:tc>
      </w:tr>
      <w:tr w:rsidR="008927DB" w:rsidRPr="008927DB" w:rsidTr="008927DB">
        <w:trPr>
          <w:trHeight w:val="263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 собственные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27 000,00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27 760,57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27 500,00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28 007,35</w:t>
            </w:r>
          </w:p>
        </w:tc>
      </w:tr>
      <w:tr w:rsidR="008927DB" w:rsidRPr="008927DB" w:rsidTr="008927DB">
        <w:trPr>
          <w:trHeight w:val="263"/>
        </w:trPr>
        <w:tc>
          <w:tcPr>
            <w:tcW w:w="4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- субсидии на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выпол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госзадания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15 213,60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15 213,60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16 186,69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63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16 186,69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vMerge w:val="restart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ублей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 средства ОМС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21 054,98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21 054,98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21 177,13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19 985,28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- собственные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29 889,36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29 684,96</w:t>
            </w:r>
          </w:p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28 500,85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 28 462,93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- субсидии на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выпол</w:t>
            </w:r>
            <w:proofErr w:type="spell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госзадания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15 213,6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15 213,6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16 186,69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16 186,69</w:t>
            </w:r>
          </w:p>
        </w:tc>
      </w:tr>
      <w:tr w:rsidR="008927DB" w:rsidRPr="008927DB" w:rsidTr="008927DB">
        <w:trPr>
          <w:trHeight w:val="24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525" w:type="dxa"/>
            <w:gridSpan w:val="9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Иные сведения                           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</w:tr>
    </w:tbl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Сведения об использовании закрепленного за учреждением государственного имущества</w:t>
      </w:r>
    </w:p>
    <w:p w:rsidR="008927DB" w:rsidRPr="008927DB" w:rsidRDefault="008927DB" w:rsidP="008927DB">
      <w:pPr>
        <w:shd w:val="clear" w:color="auto" w:fill="F8F8FA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1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67"/>
        <w:gridCol w:w="2378"/>
        <w:gridCol w:w="1350"/>
        <w:gridCol w:w="220"/>
        <w:gridCol w:w="1062"/>
        <w:gridCol w:w="1061"/>
        <w:gridCol w:w="220"/>
        <w:gridCol w:w="240"/>
        <w:gridCol w:w="1031"/>
        <w:gridCol w:w="1181"/>
      </w:tblGrid>
      <w:tr w:rsidR="008927DB" w:rsidRPr="008927DB" w:rsidTr="008927DB">
        <w:trPr>
          <w:trHeight w:val="480"/>
          <w:tblHeader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Наименование  показателя</w:t>
            </w:r>
          </w:p>
        </w:tc>
        <w:tc>
          <w:tcPr>
            <w:tcW w:w="1205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723" w:type="dxa"/>
            <w:gridSpan w:val="4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Год, предшествующий </w:t>
            </w:r>
            <w:proofErr w:type="gramStart"/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отчетному</w:t>
            </w:r>
            <w:proofErr w:type="gramEnd"/>
          </w:p>
        </w:tc>
        <w:tc>
          <w:tcPr>
            <w:tcW w:w="2663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Отчетный год</w:t>
            </w:r>
          </w:p>
        </w:tc>
      </w:tr>
      <w:tr w:rsidR="008927DB" w:rsidRPr="008927DB" w:rsidTr="008927DB">
        <w:trPr>
          <w:trHeight w:val="48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  начало года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  начало года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на конец года</w:t>
            </w:r>
          </w:p>
        </w:tc>
      </w:tr>
      <w:tr w:rsidR="008927DB" w:rsidRPr="008927DB" w:rsidTr="008927DB">
        <w:trPr>
          <w:trHeight w:val="720"/>
        </w:trPr>
        <w:tc>
          <w:tcPr>
            <w:tcW w:w="46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26812(17039)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26812(16729)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26812(16729)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ind w:right="-170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26812(16419)</w:t>
            </w:r>
          </w:p>
        </w:tc>
      </w:tr>
      <w:tr w:rsidR="008927DB" w:rsidRPr="008927DB" w:rsidTr="008927DB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 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720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 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720"/>
        </w:trPr>
        <w:tc>
          <w:tcPr>
            <w:tcW w:w="46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 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19149(9393)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20247(7976)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20247(7976)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18418(5931)</w:t>
            </w:r>
          </w:p>
        </w:tc>
      </w:tr>
      <w:tr w:rsidR="008927DB" w:rsidRPr="008927DB" w:rsidTr="008927D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 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960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учредителем </w:t>
            </w: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учреждению на указанные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927DB" w:rsidRPr="008927DB" w:rsidTr="008927DB">
        <w:trPr>
          <w:trHeight w:val="960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2047 (1037)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1428 (782)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1428 (782)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695 (305)</w:t>
            </w:r>
          </w:p>
        </w:tc>
      </w:tr>
      <w:tr w:rsidR="008927DB" w:rsidRPr="008927DB" w:rsidTr="008927DB">
        <w:trPr>
          <w:trHeight w:val="960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12235(8569)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10383(5868)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10383(5868)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8255(4141)</w:t>
            </w:r>
          </w:p>
        </w:tc>
      </w:tr>
      <w:tr w:rsidR="008927DB" w:rsidRPr="008927DB" w:rsidTr="008927DB">
        <w:trPr>
          <w:trHeight w:val="960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штук 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center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8927DB" w:rsidRPr="008927DB" w:rsidTr="008927DB">
        <w:trPr>
          <w:trHeight w:val="3318"/>
        </w:trPr>
        <w:tc>
          <w:tcPr>
            <w:tcW w:w="46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объектов недвижимого имущества, находящаяся у учреждения на праве оперативного управления: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кв. метров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</w:tr>
      <w:tr w:rsidR="008927DB" w:rsidRPr="008927DB" w:rsidTr="008927D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объектов        недвижимого     имущества, находящегося у учреждения на праве оперативного управления, и     переданного    в аренду     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кв. метров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объектов        недвижимого     имущества, находящегося у учреждения на праве оперативного управления, и     переданного    в безвозмездное   пользование   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кв. метров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4139</w:t>
            </w:r>
          </w:p>
        </w:tc>
      </w:tr>
      <w:tr w:rsidR="008927DB" w:rsidRPr="008927DB" w:rsidTr="008927DB">
        <w:trPr>
          <w:trHeight w:val="1995"/>
        </w:trPr>
        <w:tc>
          <w:tcPr>
            <w:tcW w:w="4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тыс. рублей 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40"/>
        </w:trPr>
        <w:tc>
          <w:tcPr>
            <w:tcW w:w="46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8747" w:type="dxa"/>
            <w:gridSpan w:val="9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Иные сведения                           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927DB" w:rsidRPr="008927DB" w:rsidRDefault="008927DB" w:rsidP="008927DB">
            <w:pPr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7DB" w:rsidRPr="008927DB" w:rsidRDefault="008927DB" w:rsidP="008927DB">
            <w:pPr>
              <w:spacing w:line="240" w:lineRule="atLeast"/>
              <w:jc w:val="both"/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927DB" w:rsidRPr="008927DB" w:rsidRDefault="008927DB" w:rsidP="008927DB">
            <w:pPr>
              <w:textAlignment w:val="baseline"/>
              <w:rPr>
                <w:rFonts w:ascii="PT Sans" w:eastAsia="Times New Roman" w:hAnsi="PT Sans"/>
                <w:sz w:val="30"/>
                <w:szCs w:val="30"/>
                <w:lang w:eastAsia="ru-RU"/>
              </w:rPr>
            </w:pPr>
            <w:r w:rsidRPr="008927DB">
              <w:rPr>
                <w:rFonts w:ascii="Arial" w:eastAsia="Times New Roman" w:hAnsi="Arial" w:cs="Arial"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</w:tr>
      <w:tr w:rsidR="008927DB" w:rsidRPr="008927DB" w:rsidTr="008927D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927DB" w:rsidRPr="008927DB" w:rsidRDefault="008927DB" w:rsidP="008927DB">
            <w:pPr>
              <w:rPr>
                <w:rFonts w:ascii="inherit" w:eastAsia="Times New Roman" w:hAnsi="inherit"/>
                <w:color w:val="auto"/>
                <w:sz w:val="1"/>
                <w:szCs w:val="24"/>
                <w:lang w:eastAsia="ru-RU"/>
              </w:rPr>
            </w:pPr>
          </w:p>
        </w:tc>
      </w:tr>
    </w:tbl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Главный врач              </w:t>
      </w:r>
    </w:p>
    <w:p w:rsidR="008927DB" w:rsidRPr="008927DB" w:rsidRDefault="008927DB" w:rsidP="008927DB">
      <w:pPr>
        <w:shd w:val="clear" w:color="auto" w:fill="F8F8FA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8927D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Главный бухгалтер     </w:t>
      </w:r>
    </w:p>
    <w:p w:rsidR="00302BB6" w:rsidRDefault="00302BB6"/>
    <w:sectPr w:rsidR="00302BB6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27DB"/>
    <w:rsid w:val="002A08DD"/>
    <w:rsid w:val="00302BB6"/>
    <w:rsid w:val="0049574F"/>
    <w:rsid w:val="008927DB"/>
    <w:rsid w:val="008C068C"/>
    <w:rsid w:val="0090526D"/>
    <w:rsid w:val="009B50BC"/>
    <w:rsid w:val="00B0795B"/>
    <w:rsid w:val="00B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27DB"/>
    <w:pPr>
      <w:spacing w:before="100" w:beforeAutospacing="1" w:after="100" w:afterAutospacing="1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27DB"/>
    <w:rPr>
      <w:rFonts w:eastAsia="Times New Roman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7D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7DB"/>
  </w:style>
  <w:style w:type="character" w:styleId="a4">
    <w:name w:val="Hyperlink"/>
    <w:basedOn w:val="a0"/>
    <w:uiPriority w:val="99"/>
    <w:semiHidden/>
    <w:unhideWhenUsed/>
    <w:rsid w:val="00892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2016-12-23T08:53:00Z</dcterms:created>
  <dcterms:modified xsi:type="dcterms:W3CDTF">2016-12-23T08:56:00Z</dcterms:modified>
</cp:coreProperties>
</file>